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"/>
        <w:gridCol w:w="440"/>
        <w:gridCol w:w="957"/>
        <w:gridCol w:w="471"/>
        <w:gridCol w:w="936"/>
        <w:gridCol w:w="492"/>
        <w:gridCol w:w="915"/>
        <w:gridCol w:w="513"/>
        <w:gridCol w:w="894"/>
        <w:gridCol w:w="534"/>
        <w:gridCol w:w="873"/>
        <w:gridCol w:w="555"/>
        <w:gridCol w:w="852"/>
        <w:gridCol w:w="448"/>
        <w:gridCol w:w="512"/>
        <w:gridCol w:w="146"/>
        <w:gridCol w:w="1280"/>
      </w:tblGrid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6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4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ÖNGÖRÜLEN HİZMETLER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lang w:eastAsia="tr-TR"/>
              </w:rPr>
              <w:t xml:space="preserve">Takdiri </w:t>
            </w:r>
            <w:proofErr w:type="spellStart"/>
            <w:r w:rsidRPr="006A369F">
              <w:rPr>
                <w:rFonts w:ascii="Arial TUR" w:eastAsia="Times New Roman" w:hAnsi="Arial TUR" w:cs="Arial TUR"/>
                <w:lang w:eastAsia="tr-TR"/>
              </w:rPr>
              <w:t>pursantajı</w:t>
            </w:r>
            <w:proofErr w:type="spellEnd"/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58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 AŞAMA</w:t>
            </w:r>
          </w:p>
        </w:tc>
        <w:tc>
          <w:tcPr>
            <w:tcW w:w="71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a)Yapısal- taşıyıcı sitem elemanın </w:t>
            </w:r>
            <w:proofErr w:type="spellStart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rölevesinin</w:t>
            </w:r>
            <w:proofErr w:type="spellEnd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hazırlanması hizmeti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46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b)Zemin etüdü yapılması ve </w:t>
            </w:r>
            <w:proofErr w:type="spellStart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geoteknik</w:t>
            </w:r>
            <w:proofErr w:type="spellEnd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rapor hazırlanması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48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c)Binada bilgi toplanması ve malzeme özelliğinin tespiti-belirlenmesi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5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d)Malzeme özelliğinin </w:t>
            </w:r>
            <w:r w:rsidR="00B407BB"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belirlenmesi</w:t>
            </w: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değerlendirme raporunun hazırlama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3,00%</w:t>
            </w:r>
          </w:p>
        </w:tc>
        <w:bookmarkStart w:id="0" w:name="_GoBack"/>
        <w:bookmarkEnd w:id="0"/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7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e)Hesap-</w:t>
            </w:r>
            <w:proofErr w:type="gramStart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tahkik  yapılması</w:t>
            </w:r>
            <w:proofErr w:type="gramEnd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karar raporu hazırlaması ve bilgisayar kayıtlarının oluşturulması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48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2. AŞAMA</w:t>
            </w:r>
          </w:p>
        </w:tc>
        <w:tc>
          <w:tcPr>
            <w:tcW w:w="71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f)Onarım-güçlendirme hesabı ve projesinin hazırlaması hizmeti (</w:t>
            </w:r>
            <w:r w:rsidR="00AA01B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Mimari revize, Güçlendirme Projesi, Mekanik, Elektrik Projeleri)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33,00%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49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g)Keşif-metraj ve ihale dosyası düzenlemesi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48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a)Yapısal- taşıyıcı sitem elemanın </w:t>
            </w:r>
            <w:proofErr w:type="spellStart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rölevesinin</w:t>
            </w:r>
            <w:proofErr w:type="spellEnd"/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hazırlanması hizmeti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2,00%</w:t>
            </w:r>
          </w:p>
        </w:tc>
      </w:tr>
      <w:tr w:rsidR="006A369F" w:rsidRPr="006A369F" w:rsidTr="006A369F">
        <w:trPr>
          <w:gridBefore w:val="1"/>
          <w:gridAfter w:val="3"/>
          <w:wBefore w:w="10" w:type="dxa"/>
          <w:wAfter w:w="1872" w:type="dxa"/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100,00%</w:t>
            </w:r>
          </w:p>
        </w:tc>
      </w:tr>
      <w:tr w:rsidR="006A369F" w:rsidRPr="006A369F" w:rsidTr="006A369F">
        <w:trPr>
          <w:trHeight w:val="255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b/>
                <w:i/>
                <w:i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i/>
                <w:iCs/>
                <w:sz w:val="20"/>
                <w:szCs w:val="20"/>
                <w:lang w:eastAsia="tr-TR"/>
              </w:rPr>
              <w:t>Not.</w:t>
            </w:r>
          </w:p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i/>
                <w:iCs/>
                <w:sz w:val="20"/>
                <w:szCs w:val="20"/>
                <w:lang w:eastAsia="tr-TR"/>
              </w:rPr>
              <w:t>1-</w:t>
            </w:r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Yukarıdaki hizmet bedeli yaklaşık maliyeti; Mimarlık ve Mühendislik Hizmetleri Şartnamesi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9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Ve Çevre Şehircilik </w:t>
            </w:r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Bakanlığımızın 31.07.2013 tarih ve 266 (2013/19) sayılı Genelgesi ile Mevcut Kamu Binalarının Değerlendirilmesi ve Güçlendirilmesi Özel Teknik Şartnamesi hükümlerinegöre düzenlenmiştir.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5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i/>
                <w:iCs/>
                <w:sz w:val="20"/>
                <w:szCs w:val="20"/>
                <w:lang w:eastAsia="tr-TR"/>
              </w:rPr>
              <w:t>2</w:t>
            </w:r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-Projelendirme bedel hesabı; Mevcut binanın beton dayanımının ve donatı durumunun tespiti, zemin etüdü yapılması, taşıyıcı sistem projesi ile uyumunun araştırılması, statik projesi  yok ise </w:t>
            </w:r>
            <w:proofErr w:type="spellStart"/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rölöve</w:t>
            </w:r>
            <w:proofErr w:type="spellEnd"/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 çıkarılması, taşıyıcı sistemin statik analizi, statik analizsonucu teknik rapordüzenlenmesi ve gerekiyor ise onarım/güçlendirme projelerinin hazırlanması hizmetlerinikapsamaktadır.</w:t>
            </w:r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(Onarım güçlendirme </w:t>
            </w:r>
            <w:proofErr w:type="spellStart"/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sonusu</w:t>
            </w:r>
            <w:proofErr w:type="spellEnd"/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 Revize </w:t>
            </w:r>
            <w:proofErr w:type="gramStart"/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mimari , Güçlendirme</w:t>
            </w:r>
            <w:proofErr w:type="gramEnd"/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 Projeleri, Mekanik ve Elektrik Projeleri çizilecektir.) </w:t>
            </w:r>
          </w:p>
          <w:p w:rsid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i/>
                <w:iCs/>
                <w:sz w:val="20"/>
                <w:szCs w:val="20"/>
                <w:lang w:eastAsia="tr-TR"/>
              </w:rPr>
              <w:t>3-</w:t>
            </w:r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 Yukarıda belirtilen hizmetlerin </w:t>
            </w:r>
            <w:proofErr w:type="spellStart"/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pursantajları</w:t>
            </w:r>
            <w:proofErr w:type="spellEnd"/>
            <w:r w:rsidRPr="006A369F"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 xml:space="preserve"> takdiri olarak </w:t>
            </w:r>
            <w:r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  <w:t>belirlenmiştir.</w:t>
            </w:r>
          </w:p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A369F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4</w:t>
            </w:r>
            <w:r w:rsidRPr="006A36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-1. Aşamada işlemlerinden sonra yapının güçlendirilmesine ihtiyaç duyulması halinde 2.Aşama işlemlerinin yapılması aksi takdirdeikinci aşama bedeli ödenmeyecektir.</w:t>
            </w:r>
          </w:p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7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7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5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10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2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369F" w:rsidRPr="006A369F" w:rsidTr="006A369F">
        <w:trPr>
          <w:trHeight w:val="255"/>
        </w:trPr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9F" w:rsidRPr="006A369F" w:rsidRDefault="006A369F" w:rsidP="006A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440" w:rsidRDefault="00623440"/>
    <w:sectPr w:rsidR="00623440" w:rsidSect="00BE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E33"/>
    <w:rsid w:val="00275BF9"/>
    <w:rsid w:val="00623440"/>
    <w:rsid w:val="006A369F"/>
    <w:rsid w:val="00AA01BB"/>
    <w:rsid w:val="00B407BB"/>
    <w:rsid w:val="00BE6C62"/>
    <w:rsid w:val="00D2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m.kazım kaya</dc:creator>
  <cp:keywords/>
  <dc:description/>
  <cp:lastModifiedBy>AhmetGUNHAN1</cp:lastModifiedBy>
  <cp:revision>4</cp:revision>
  <dcterms:created xsi:type="dcterms:W3CDTF">2019-05-29T07:31:00Z</dcterms:created>
  <dcterms:modified xsi:type="dcterms:W3CDTF">2020-07-01T10:14:00Z</dcterms:modified>
</cp:coreProperties>
</file>