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2018/550013</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46 KALEMLİK SEBZE-MEYVE VE ŞARKÜTERİ ÜRÜNLERİ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