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6" w:rsidRPr="005E2185" w:rsidRDefault="008B2EF9" w:rsidP="00383F8B">
      <w:pPr>
        <w:tabs>
          <w:tab w:val="left" w:pos="426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tr-TR"/>
        </w:rPr>
      </w:pPr>
      <w:r w:rsidRPr="005E21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tr-TR"/>
        </w:rPr>
        <w:t>ALTYAPI PROJE</w:t>
      </w:r>
      <w:r w:rsidR="00383F8B" w:rsidRPr="005E21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tr-TR"/>
        </w:rPr>
        <w:t>LERİ</w:t>
      </w:r>
      <w:r w:rsidRPr="005E21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tr-TR"/>
        </w:rPr>
        <w:t xml:space="preserve"> DÜZENLEME ESASLARI</w:t>
      </w:r>
    </w:p>
    <w:p w:rsidR="00BB5A08" w:rsidRPr="005E2185" w:rsidRDefault="00BB5A08" w:rsidP="005D428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5A08" w:rsidRPr="005E2185" w:rsidRDefault="00951E0E" w:rsidP="005D4281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DANIŞMAN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altyapı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için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gerekli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her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türlü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unsurun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yağmur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suyu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drenaj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projeleri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pissu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kafa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hendekleri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enerji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dağıtımı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zayıf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akım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kablo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galerileri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doğalgaz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servis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hatları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reglaj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istasyonları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temiz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proofErr w:type="gram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proofErr w:type="gram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depoları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atık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arıtma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vb.)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C6241B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yolların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iç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yollar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ana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6241B">
        <w:rPr>
          <w:rFonts w:ascii="Times New Roman" w:hAnsi="Times New Roman"/>
          <w:color w:val="000000" w:themeColor="text1"/>
          <w:sz w:val="24"/>
          <w:szCs w:val="24"/>
        </w:rPr>
        <w:t>yollar</w:t>
      </w:r>
      <w:proofErr w:type="spellEnd"/>
      <w:r w:rsidR="00C6241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yaya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yolları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uygulama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projelerinin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hazırlanması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işini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Altyapı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Proje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Düzenleme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Esasları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ile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diğer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esaslarda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bulunan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altyapı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ile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ilgili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hususlar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doğrultusunda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yapacaktır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Danışman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ara</w:t>
      </w:r>
      <w:r w:rsidR="00AA4F9D">
        <w:rPr>
          <w:rFonts w:ascii="Times New Roman" w:hAnsi="Times New Roman"/>
          <w:color w:val="000000" w:themeColor="text1"/>
          <w:sz w:val="24"/>
          <w:szCs w:val="24"/>
        </w:rPr>
        <w:t>ziye</w:t>
      </w:r>
      <w:proofErr w:type="spellEnd"/>
      <w:r w:rsidR="00AA4F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A4F9D">
        <w:rPr>
          <w:rFonts w:ascii="Times New Roman" w:hAnsi="Times New Roman"/>
          <w:color w:val="000000" w:themeColor="text1"/>
          <w:sz w:val="24"/>
          <w:szCs w:val="24"/>
        </w:rPr>
        <w:t>getirilmiş</w:t>
      </w:r>
      <w:proofErr w:type="spellEnd"/>
      <w:r w:rsidR="00AA4F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A4F9D">
        <w:rPr>
          <w:rFonts w:ascii="Times New Roman" w:hAnsi="Times New Roman"/>
          <w:color w:val="000000" w:themeColor="text1"/>
          <w:sz w:val="24"/>
          <w:szCs w:val="24"/>
        </w:rPr>
        <w:t>enerjinin</w:t>
      </w:r>
      <w:proofErr w:type="spellEnd"/>
      <w:r w:rsidR="00AA4F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A4F9D">
        <w:rPr>
          <w:rFonts w:ascii="Times New Roman" w:hAnsi="Times New Roman"/>
          <w:color w:val="000000" w:themeColor="text1"/>
          <w:sz w:val="24"/>
          <w:szCs w:val="24"/>
        </w:rPr>
        <w:t>çevre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içerisinde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taşıma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dağıtım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projelerini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hazırlayacaktır</w:t>
      </w:r>
      <w:proofErr w:type="spellEnd"/>
      <w:r w:rsidR="00BB5A08"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B5A08" w:rsidRPr="005E2185" w:rsidRDefault="00BB5A08" w:rsidP="005D4281">
      <w:pPr>
        <w:tabs>
          <w:tab w:val="left" w:pos="426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54506" w:rsidRPr="005E2185" w:rsidRDefault="00454506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2C1A61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Madde 1.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ALTYAPI PROJELERİNİN İMAR PLANLARI İLE UYUM </w:t>
      </w:r>
      <w:proofErr w:type="gramStart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VE  BÜTÜNLÜĞÜ</w:t>
      </w:r>
      <w:proofErr w:type="gramEnd"/>
    </w:p>
    <w:p w:rsidR="00454506" w:rsidRPr="005E2185" w:rsidRDefault="00454506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Altyapı projeleri, Bölgenin nazım ve uygulama imar planları ile uyum ve bütünlük içinde elde edilecektir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..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4F0290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DANIŞMAN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 bu amaçla, konu ile ilgili farklı disiplinlerdeki uzmanlarla müşterek çalışmalar yaparak en uygun çözüm için gereken teknik önlemleri alacak ve altyapı tasarımı ile imar planlama çalışmaları eşgüdüm içinde yürütülerek sonuçlandırılacaktır.</w:t>
      </w:r>
      <w:r w:rsidR="005D428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Bu işlem sırasında ilgili birimlerle koordinasyon sağlanarak, gerekli izin ve belgeler DANIŞMAN tarafından temin edilecektir.</w:t>
      </w:r>
    </w:p>
    <w:p w:rsidR="00BB5A08" w:rsidRPr="005E2185" w:rsidRDefault="00BB5A08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2C1A61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Madde 2.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ALTYAPI PROJELERİNİN 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MALİYETİ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EN AZA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İNDİRMESİ</w:t>
      </w:r>
    </w:p>
    <w:p w:rsidR="00454506" w:rsidRPr="005E2185" w:rsidRDefault="00454506" w:rsidP="005D4281">
      <w:pPr>
        <w:tabs>
          <w:tab w:val="left" w:pos="1152"/>
        </w:tabs>
        <w:ind w:left="432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Altyapı projelerinin uygulamada en az maliyete indirilmesini sağlayacak şekilde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etüd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edilerek düzenlenmesi gerekir. Bu amaçla, aşağıdaki hususlara öncelikle dikkat edilecektir;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- UYGUN MÜHENDİSLİK TASARIM İLKE VE STANDARTLARI</w:t>
      </w:r>
    </w:p>
    <w:p w:rsidR="00454506" w:rsidRPr="005E2185" w:rsidRDefault="00454506" w:rsidP="005D4281">
      <w:pPr>
        <w:tabs>
          <w:tab w:val="left" w:pos="144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Düzenlenecek altyapı projelerinde; ulusal ve uluslararası kabul görmüş asgari standartlar uygulanmakla birlikte, maliyeti en aza indirecek şekilde, Bölgenin özelliklerinden yararlanılması, bu özelliklere uygun tasarım kabul ve uygulamalarının yapılması gerekecektir.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152"/>
        </w:tabs>
        <w:ind w:left="432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- MEVCUT ALTYAPIDAN EN ÜST DÜZEYDE YARARLANILMASI</w:t>
      </w:r>
    </w:p>
    <w:p w:rsidR="00454506" w:rsidRPr="005E2185" w:rsidRDefault="00454506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440"/>
        </w:tabs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Altyapı tesisleri bulun</w:t>
      </w:r>
      <w:r w:rsidR="002036E8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muyorsa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 en yakın altyapı tesisleri ile uyum sağlanacaktır. Mevcut altyapısı bulun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uyor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ise, mevcut tesislerden azami düzeyde yararlanılması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imkanları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araştırılacaktır.</w:t>
      </w:r>
    </w:p>
    <w:p w:rsidR="00454506" w:rsidRPr="005E2185" w:rsidRDefault="00454506" w:rsidP="005D4281">
      <w:pPr>
        <w:tabs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2C1A61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Madde 3.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ALTYAPI TASARIMINDA DİKKATE ALINACAK TEKNİK ÖZELLİKLER</w:t>
      </w:r>
    </w:p>
    <w:p w:rsidR="00454506" w:rsidRPr="005E2185" w:rsidRDefault="00454506" w:rsidP="005D4281">
      <w:pPr>
        <w:ind w:left="426" w:firstLine="283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Altyapı Projeleri, Bölge büyüklüğüne göre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avan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uygulama projeleri olarak iki aşamada elde edilecektir. Avan proje safhasında, alternatif tasarımlar gözden geçirilmeli ve en uygun çözümlere ulaşılması için karşılaştırmalar yapılmalıdır.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06967" w:rsidP="005D428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Hizmet Binası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sınırları içinde yapılacak altyapı tesislerine ait projeler </w:t>
      </w:r>
      <w:r w:rsidR="00135D9E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hazırlandıktan sonra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 bu tesislerin kentin altyapı sistemlerine bağlanması veya bağımsız olarak işlev görmesi için gerekli olan bölge dışı altyapı tesisleri de projelendirilecektir.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lastRenderedPageBreak/>
        <w:t>Altyapı projelerinde; ara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zinin gerektirdiği kazı, 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>dolgu ve tes</w:t>
      </w:r>
      <w:r w:rsidR="00135D9E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v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iye 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işleri belirlenecektir. Projelerde; tesis adaları, yollar ve sair kullanım alanlarının nihai kotları gösterilecektir. Her altyapı sistemi için ayrı ayrı metrajlar ve keşif özetleri hazırlanarak, ilgili kamu kuruluşlarının birim 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 xml:space="preserve">fiyatları esas alınarak inşaat ihalesine esas </w:t>
      </w:r>
      <w:r w:rsidR="004F0290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yaklaşık maliyet</w:t>
      </w:r>
      <w:r w:rsidR="00E9139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belirlenecektir. Altyapı 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tesislerinin inşaat ihaleleri için gerekli dokümanlar ve ihale evrakı hazırlanacaktır.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F0290" w:rsidP="005D428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DANIŞMAN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 her altyapı siste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mi için kullandığı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mühendislik </w:t>
      </w:r>
      <w:proofErr w:type="gramStart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krit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er</w:t>
      </w:r>
      <w:proofErr w:type="gramEnd"/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standartlarını, bunların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gerekçelerini, projelere ilişkin hesaplama cetvellerini ve tasarıma esas 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olan kabuller ve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teoriyi açık biçimde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gösteren açıklama raporlarını </w:t>
      </w:r>
      <w:proofErr w:type="spellStart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avan</w:t>
      </w:r>
      <w:proofErr w:type="spellEnd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uygulama projelerinin eki olarak ilgili Onay Makamına sunacaktır.</w:t>
      </w: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9027DC" w:rsidRPr="005E2185" w:rsidRDefault="009027DC" w:rsidP="005D4281">
      <w:pPr>
        <w:ind w:left="426" w:right="72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B057ED">
      <w:pPr>
        <w:ind w:hanging="7632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D) YAĞMUR SUYU </w:t>
      </w:r>
      <w:r w:rsidR="00B057ED">
        <w:rPr>
          <w:rFonts w:ascii="Times New Roman" w:hAnsi="Times New Roman"/>
          <w:color w:val="000000" w:themeColor="text1"/>
          <w:sz w:val="24"/>
          <w:szCs w:val="24"/>
          <w:lang w:val="tr-TR"/>
        </w:rPr>
        <w:t>DR</w:t>
      </w:r>
    </w:p>
    <w:p w:rsidR="00454506" w:rsidRPr="005E2185" w:rsidRDefault="00454506" w:rsidP="005D4281">
      <w:p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2C1A61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Madde 5.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ALTYAPI UYGULAMA PROJELERİ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F0290" w:rsidP="005D4281">
      <w:pPr>
        <w:tabs>
          <w:tab w:val="left" w:pos="1152"/>
        </w:tabs>
        <w:ind w:firstLine="432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DANIŞMAN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, </w:t>
      </w:r>
      <w:r w:rsidR="00420D65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avan</w:t>
      </w:r>
      <w:proofErr w:type="spellEnd"/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projelerin </w:t>
      </w:r>
      <w:r w:rsidR="00420D65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İdare tarafından 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onaylanmasını takiben, Uygulama Projeleri çalışmalarına başlayacak ve en az aşağıdaki kapsamda olmak üzere bu projeleri düzenleyecektir;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A) YOL, KAVŞAK VE ULAŞIM YAPILARI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Yol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güzergahlarının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kesinleştirilmesi ve yol ekseninin arazide aplikasyonu,</w:t>
      </w:r>
    </w:p>
    <w:p w:rsidR="00454506" w:rsidRPr="005E2185" w:rsidRDefault="00454506" w:rsidP="005D4281">
      <w:p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AD0141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1/200</w:t>
      </w:r>
      <w:r w:rsidR="0045450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ölçekli yol planları,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1/1000 ölçekli yatay ve 1/100 ölçekli düşey, ayrıntılı nihai yol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boykesitleri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1/100 ölçekli yol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enkesitleri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(arazi yapısına uygun aralıklarla)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Yol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güzergahları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, kavşaklar ve otoparklara ilişkin refüjlerin, yeşil alanların, arazi düzenlemeleri </w:t>
      </w:r>
      <w:r w:rsidR="002C1A61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ve geometrik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yerleşim planlarının yapılması,</w:t>
      </w:r>
    </w:p>
    <w:p w:rsidR="00454506" w:rsidRPr="005E2185" w:rsidRDefault="00454506" w:rsidP="005D4281">
      <w:pPr>
        <w:tabs>
          <w:tab w:val="left" w:pos="426"/>
        </w:tabs>
        <w:ind w:hanging="9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Gerekli yerlerde işaretleme ve trafik sinyalleri gibi trafik kontrol araçları ve donatısının belirlenmesi,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Farklı kademelerdeki yollar itibariyle; bunların eğimlerini, şerit genişliklerini, kaldırımlarını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refüjlerini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ve çeşitli kaplama tabakalarının detaylarını gösteren tipik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enkesitler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,</w:t>
      </w:r>
    </w:p>
    <w:p w:rsidR="00454506" w:rsidRPr="005E2185" w:rsidRDefault="00454506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Köprü ve menfezler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ile,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yaya ve/veya trafik alt ve/veya üst geçitlerin uygulama proje ve detayları.</w:t>
      </w:r>
    </w:p>
    <w:p w:rsidR="00454506" w:rsidRPr="005E2185" w:rsidRDefault="00454506" w:rsidP="005D4281">
      <w:pPr>
        <w:tabs>
          <w:tab w:val="left" w:pos="1152"/>
          <w:tab w:val="left" w:pos="144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F28B9" w:rsidRDefault="003F28B9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F28B9" w:rsidRDefault="003F28B9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F28B9" w:rsidRDefault="003F28B9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lastRenderedPageBreak/>
        <w:t>B) İÇME VE KULLANMA SUYU TEMİNİ VE ŞEBEKESİ</w:t>
      </w:r>
    </w:p>
    <w:p w:rsidR="00454506" w:rsidRPr="005E2185" w:rsidRDefault="00454506" w:rsidP="005D4281">
      <w:pPr>
        <w:tabs>
          <w:tab w:val="left" w:pos="1152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Su alma ve depolama yapılarının ayrınt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ıları ve isale hatlarının 1/200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ölçekli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boykesit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çizimleri,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Vana yerlerinin, yangın musluklarının, servis bağlantılarının, düğüm noktalarının ve ta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li yapıların gösterildiği 1/200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ölçekli şebeke planları,</w:t>
      </w:r>
    </w:p>
    <w:p w:rsidR="00454506" w:rsidRPr="005E2185" w:rsidRDefault="00454506" w:rsidP="005D4281">
      <w:pPr>
        <w:tabs>
          <w:tab w:val="left" w:pos="1152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Önerilen şebekenin boru çap ve cinsleri,</w:t>
      </w:r>
    </w:p>
    <w:p w:rsidR="00454506" w:rsidRPr="005E2185" w:rsidRDefault="00454506" w:rsidP="005D4281">
      <w:pPr>
        <w:tabs>
          <w:tab w:val="left" w:pos="1152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Vana, yangın musluğu, servis (parsel) bağlantıları, düğüm noktaları ve diğer tali yapıların 1/50 ölçekli uygulama ve uygun ölçeklerdeki detay projeleri,</w:t>
      </w:r>
    </w:p>
    <w:p w:rsidR="00454506" w:rsidRPr="005E2185" w:rsidRDefault="00454506" w:rsidP="005D4281">
      <w:pPr>
        <w:tabs>
          <w:tab w:val="left" w:pos="1008"/>
          <w:tab w:val="left" w:pos="1152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tabs>
          <w:tab w:val="left" w:pos="1008"/>
          <w:tab w:val="left" w:pos="1152"/>
          <w:tab w:val="left" w:pos="1296"/>
        </w:tabs>
        <w:ind w:left="720" w:hanging="288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-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ab/>
        <w:t>Pompaj gerekirse; pompa istasyonunun yerini gösteren vaziyet planı, mimari, betonarme, tesisat uygulama projeleri ve elektro-mekanik detay çizimleri,</w:t>
      </w:r>
    </w:p>
    <w:p w:rsidR="00454506" w:rsidRPr="005E2185" w:rsidRDefault="00454506" w:rsidP="005D4281">
      <w:p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Bunlara ilişkin hesap ve raporlar.</w:t>
      </w:r>
    </w:p>
    <w:p w:rsidR="00454506" w:rsidRPr="005E2185" w:rsidRDefault="00454506" w:rsidP="005D4281">
      <w:p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C) PİS SU-KANALİZASYON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Baca konum ve a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ralıklarının gösterildiği 1/200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ölçekli kanalizasyon şebeke planları,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Şebeke boru taban seviyelerini, yatak diplerini ve boru çaplarını gösteren boy kesit çizimleri,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Ara pompaj istasyonlarının (varsa) ayrıntılı mimari, betonarme, tesisat ve elektro-mekanik uygulama ve detay projeleri,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Bacaların, servis (parsel) bağlantı bacalarının ve benzeri yapıların 1/50 ölçekli çizimleri ve uygulama detayları,</w:t>
      </w:r>
    </w:p>
    <w:p w:rsidR="00454506" w:rsidRPr="005E2185" w:rsidRDefault="00454506" w:rsidP="005D4281">
      <w:pPr>
        <w:tabs>
          <w:tab w:val="left" w:pos="1008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Gerekli olan diğer detaylar, hesap ve raporlar.</w:t>
      </w:r>
    </w:p>
    <w:p w:rsidR="003F28B9" w:rsidRDefault="003F28B9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bookmarkStart w:id="0" w:name="_GoBack"/>
      <w:bookmarkEnd w:id="0"/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D) YAĞMUR SUYU DRENAJI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Tüm drenaj yapılarının, kutu ve boru menfezlerin, hendek ve kanalların konumlarını gösteren 1/</w:t>
      </w:r>
      <w:r w:rsidR="00BB5A08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200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ölçekli yağmur suyu drenaj planları,</w:t>
      </w:r>
    </w:p>
    <w:p w:rsidR="00454506" w:rsidRPr="005E2185" w:rsidRDefault="00454506" w:rsidP="005D4281">
      <w:pPr>
        <w:tabs>
          <w:tab w:val="left" w:pos="1008"/>
          <w:tab w:val="left" w:pos="129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Drenaj yapılarının; üst ve taban seviyelerini, menfez boyutlarını, şebeke elemanlarının konumlarını ve su alma ağızlarını ve bunlara ait yer ve detayları tam olarak gösteren drenaj yapıları uygulama projeleri,</w:t>
      </w:r>
    </w:p>
    <w:p w:rsidR="00454506" w:rsidRPr="005E2185" w:rsidRDefault="00454506" w:rsidP="005D4281">
      <w:pPr>
        <w:tabs>
          <w:tab w:val="left" w:pos="1296"/>
        </w:tabs>
        <w:ind w:left="288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454506" w:rsidRPr="005E2185" w:rsidRDefault="00454506" w:rsidP="005D4281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Kavşak noktaları, kutu menfezler, bitiş duvarları, yan duvarlar, me</w:t>
      </w:r>
      <w:r w:rsidR="006953F6"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tal kapaklar, bacalar, toplama </w:t>
      </w:r>
      <w:r w:rsidRPr="005E2185">
        <w:rPr>
          <w:rFonts w:ascii="Times New Roman" w:hAnsi="Times New Roman"/>
          <w:color w:val="000000" w:themeColor="text1"/>
          <w:sz w:val="24"/>
          <w:szCs w:val="24"/>
          <w:lang w:val="tr-TR"/>
        </w:rPr>
        <w:t>havzaları, saha girişleri, birikintiler için girişler gibi tüm drenaj yapılarının uygulama ve detay projeleri,</w:t>
      </w:r>
    </w:p>
    <w:p w:rsidR="00356B7B" w:rsidRPr="005E2185" w:rsidRDefault="00356B7B" w:rsidP="005D4281">
      <w:pPr>
        <w:pStyle w:val="ListeParagraf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56B7B" w:rsidRPr="005E2185" w:rsidRDefault="00356B7B" w:rsidP="005D4281">
      <w:pPr>
        <w:tabs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356B7B" w:rsidRPr="005E2185" w:rsidRDefault="00356B7B" w:rsidP="005D4281">
      <w:pPr>
        <w:overflowPunct/>
        <w:autoSpaceDE/>
        <w:autoSpaceDN/>
        <w:adjustRightInd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>Ko</w:t>
      </w:r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>ntrol</w:t>
      </w:r>
      <w:proofErr w:type="spellEnd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>Teşkilatına</w:t>
      </w:r>
      <w:proofErr w:type="spellEnd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>teslim</w:t>
      </w:r>
      <w:proofErr w:type="spellEnd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>edilecek</w:t>
      </w:r>
      <w:proofErr w:type="spellEnd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1E0E" w:rsidRPr="005E2185">
        <w:rPr>
          <w:rFonts w:ascii="Times New Roman" w:hAnsi="Times New Roman"/>
          <w:b/>
          <w:color w:val="000000" w:themeColor="text1"/>
          <w:sz w:val="24"/>
          <w:szCs w:val="24"/>
        </w:rPr>
        <w:t>Alt</w:t>
      </w:r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>yapı</w:t>
      </w:r>
      <w:proofErr w:type="spellEnd"/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>projelerinde</w:t>
      </w:r>
      <w:proofErr w:type="spellEnd"/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b/>
          <w:color w:val="000000" w:themeColor="text1"/>
          <w:sz w:val="24"/>
          <w:szCs w:val="24"/>
        </w:rPr>
        <w:t>öngörül</w:t>
      </w:r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>en</w:t>
      </w:r>
      <w:proofErr w:type="spellEnd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>durumlar</w:t>
      </w:r>
      <w:proofErr w:type="spellEnd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>aşağıda</w:t>
      </w:r>
      <w:proofErr w:type="spellEnd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>verilmiştir</w:t>
      </w:r>
      <w:proofErr w:type="spellEnd"/>
      <w:r w:rsidR="005D620B" w:rsidRPr="005E2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;</w:t>
      </w:r>
      <w:proofErr w:type="gramEnd"/>
    </w:p>
    <w:p w:rsidR="00356B7B" w:rsidRPr="005E2185" w:rsidRDefault="00356B7B" w:rsidP="005D4281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*Alt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yapı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projelerinde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mevcut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hatta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bağlantı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kotları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ilgili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idarelerden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</w:rPr>
        <w:t>temin</w:t>
      </w:r>
      <w:proofErr w:type="spellEnd"/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edilmeli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paftaya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işlenmelidir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Antedlere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lejantlar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işlenmelidir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. Alt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yapı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E2185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harfi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olarak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gösterilmelidir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Yağmursuyu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hesaplarında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saha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taksimatları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yapılarak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uygulama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projelerindeki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boru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çapları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belirlenmelidir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Atık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hesaplarında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kullanıcı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personel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sayısı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göz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önüne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alınarak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uygulama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projelerindeki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boru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çapları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belirlenmelidir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*Alt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yapı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projelerine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parsel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bacaları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boru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cinsleri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(HDPE-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Koruge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boru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kazı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dolgu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derinlikleri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vb.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detay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oluşturularak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paftalara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işlenmelidir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6B7B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Yağmursuyu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hattına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bahçe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yüzey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suları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toplamak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için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ızgara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kanalları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oluşturulmalı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ve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detayları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paftalara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işlenmelidir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0297" w:rsidRPr="005E2185" w:rsidRDefault="00356B7B" w:rsidP="005D4281">
      <w:pPr>
        <w:overflowPunct/>
        <w:autoSpaceDE/>
        <w:autoSpaceDN/>
        <w:adjustRightInd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185">
        <w:rPr>
          <w:rFonts w:ascii="Times New Roman" w:hAnsi="Times New Roman"/>
          <w:color w:val="000000" w:themeColor="text1"/>
          <w:sz w:val="24"/>
          <w:szCs w:val="24"/>
        </w:rPr>
        <w:t>*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Temelde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yapılacak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drenajlar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altyapı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paftalarındaki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yağmursuyu-drenaj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hattına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E2185">
        <w:rPr>
          <w:rFonts w:ascii="Times New Roman" w:hAnsi="Times New Roman"/>
          <w:color w:val="000000" w:themeColor="text1"/>
          <w:sz w:val="24"/>
          <w:szCs w:val="24"/>
        </w:rPr>
        <w:t>işlenmelidir</w:t>
      </w:r>
      <w:proofErr w:type="spellEnd"/>
      <w:r w:rsidRPr="005E21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0297" w:rsidRPr="005E2185" w:rsidRDefault="001D0297" w:rsidP="005D4281">
      <w:pPr>
        <w:pStyle w:val="ListeParagraf"/>
        <w:tabs>
          <w:tab w:val="left" w:pos="426"/>
        </w:tabs>
        <w:ind w:left="777"/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E91396" w:rsidRPr="005E2185" w:rsidRDefault="00DA6415" w:rsidP="005D4281">
      <w:pPr>
        <w:tabs>
          <w:tab w:val="left" w:pos="158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tr-TR"/>
        </w:rPr>
        <w:t>Not: Birlik Komutanı ve mevcut altyapı hakkında bilgi sahibi olan personel görüşlerinden faydalanılacaktır.</w:t>
      </w:r>
    </w:p>
    <w:p w:rsidR="00E91396" w:rsidRPr="005E2185" w:rsidRDefault="00E91396" w:rsidP="005D4281">
      <w:pPr>
        <w:tabs>
          <w:tab w:val="left" w:pos="158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sectPr w:rsidR="00E91396" w:rsidRPr="005E2185" w:rsidSect="00B570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03" w:rsidRDefault="00E87C03" w:rsidP="009A7B78">
      <w:r>
        <w:separator/>
      </w:r>
    </w:p>
  </w:endnote>
  <w:endnote w:type="continuationSeparator" w:id="0">
    <w:p w:rsidR="00E87C03" w:rsidRDefault="00E87C03" w:rsidP="009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atik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19067"/>
      <w:docPartObj>
        <w:docPartGallery w:val="Page Numbers (Bottom of Page)"/>
        <w:docPartUnique/>
      </w:docPartObj>
    </w:sdtPr>
    <w:sdtEndPr/>
    <w:sdtContent>
      <w:p w:rsidR="009A7B78" w:rsidRDefault="00B570D1">
        <w:pPr>
          <w:pStyle w:val="Altbilgi"/>
          <w:jc w:val="right"/>
        </w:pPr>
        <w:r>
          <w:fldChar w:fldCharType="begin"/>
        </w:r>
        <w:r w:rsidR="009A7B78">
          <w:instrText>PAGE   \* MERGEFORMAT</w:instrText>
        </w:r>
        <w:r>
          <w:fldChar w:fldCharType="separate"/>
        </w:r>
        <w:r w:rsidR="003F28B9" w:rsidRPr="003F28B9">
          <w:rPr>
            <w:noProof/>
            <w:lang w:val="tr-TR"/>
          </w:rPr>
          <w:t>3</w:t>
        </w:r>
        <w:r>
          <w:fldChar w:fldCharType="end"/>
        </w:r>
      </w:p>
    </w:sdtContent>
  </w:sdt>
  <w:p w:rsidR="009A7B78" w:rsidRDefault="009A7B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03" w:rsidRDefault="00E87C03" w:rsidP="009A7B78">
      <w:r>
        <w:separator/>
      </w:r>
    </w:p>
  </w:footnote>
  <w:footnote w:type="continuationSeparator" w:id="0">
    <w:p w:rsidR="00E87C03" w:rsidRDefault="00E87C03" w:rsidP="009A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070"/>
    <w:multiLevelType w:val="hybridMultilevel"/>
    <w:tmpl w:val="89AC1534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06100"/>
    <w:multiLevelType w:val="multilevel"/>
    <w:tmpl w:val="1B6C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0243792"/>
    <w:multiLevelType w:val="hybridMultilevel"/>
    <w:tmpl w:val="947613E2"/>
    <w:lvl w:ilvl="0" w:tplc="A91E5880">
      <w:start w:val="3"/>
      <w:numFmt w:val="bullet"/>
      <w:lvlText w:val="-"/>
      <w:lvlJc w:val="left"/>
      <w:pPr>
        <w:ind w:left="777" w:hanging="360"/>
      </w:pPr>
      <w:rPr>
        <w:rFonts w:ascii="Cambria" w:eastAsia="Times New Roman" w:hAnsi="Cambria" w:cs="Arial" w:hint="default"/>
      </w:rPr>
    </w:lvl>
    <w:lvl w:ilvl="1" w:tplc="041F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8AC1206"/>
    <w:multiLevelType w:val="hybridMultilevel"/>
    <w:tmpl w:val="325EC04A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7"/>
    <w:rsid w:val="00135D9E"/>
    <w:rsid w:val="001D0297"/>
    <w:rsid w:val="002036E8"/>
    <w:rsid w:val="002C1A61"/>
    <w:rsid w:val="0033473C"/>
    <w:rsid w:val="00356B7B"/>
    <w:rsid w:val="00383F8B"/>
    <w:rsid w:val="003C77DA"/>
    <w:rsid w:val="003F28B9"/>
    <w:rsid w:val="00406967"/>
    <w:rsid w:val="00420D65"/>
    <w:rsid w:val="00454506"/>
    <w:rsid w:val="004860D6"/>
    <w:rsid w:val="004F0290"/>
    <w:rsid w:val="0050134F"/>
    <w:rsid w:val="0052421E"/>
    <w:rsid w:val="00577D7A"/>
    <w:rsid w:val="005B1C38"/>
    <w:rsid w:val="005D4281"/>
    <w:rsid w:val="005D620B"/>
    <w:rsid w:val="005E2185"/>
    <w:rsid w:val="006953F6"/>
    <w:rsid w:val="00711962"/>
    <w:rsid w:val="008B2EF9"/>
    <w:rsid w:val="009027DC"/>
    <w:rsid w:val="00951E0E"/>
    <w:rsid w:val="00955848"/>
    <w:rsid w:val="0096046A"/>
    <w:rsid w:val="009A7B78"/>
    <w:rsid w:val="00AA4F9D"/>
    <w:rsid w:val="00AD0141"/>
    <w:rsid w:val="00B057ED"/>
    <w:rsid w:val="00B570D1"/>
    <w:rsid w:val="00BB5A08"/>
    <w:rsid w:val="00C6241B"/>
    <w:rsid w:val="00D53772"/>
    <w:rsid w:val="00DA6415"/>
    <w:rsid w:val="00E43785"/>
    <w:rsid w:val="00E87C03"/>
    <w:rsid w:val="00E91396"/>
    <w:rsid w:val="00EE4D04"/>
    <w:rsid w:val="00FB7547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06"/>
    <w:pPr>
      <w:overflowPunct w:val="0"/>
      <w:autoSpaceDE w:val="0"/>
      <w:autoSpaceDN w:val="0"/>
      <w:adjustRightInd w:val="0"/>
      <w:spacing w:after="0" w:line="240" w:lineRule="auto"/>
    </w:pPr>
    <w:rPr>
      <w:rFonts w:ascii="Helvatika" w:eastAsia="Times New Roman" w:hAnsi="Helvatika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semiHidden/>
    <w:rsid w:val="00454506"/>
    <w:pPr>
      <w:ind w:left="426"/>
      <w:jc w:val="both"/>
    </w:pPr>
    <w:rPr>
      <w:rFonts w:ascii="Arial" w:hAnsi="Arial" w:cs="Arial"/>
      <w:sz w:val="24"/>
      <w:lang w:val="tr-TR"/>
    </w:rPr>
  </w:style>
  <w:style w:type="paragraph" w:styleId="ListeParagraf">
    <w:name w:val="List Paragraph"/>
    <w:basedOn w:val="Normal"/>
    <w:uiPriority w:val="34"/>
    <w:qFormat/>
    <w:rsid w:val="004545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5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48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A7B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7B78"/>
    <w:rPr>
      <w:rFonts w:ascii="Helvatika" w:eastAsia="Times New Roman" w:hAnsi="Helvatika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A7B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7B78"/>
    <w:rPr>
      <w:rFonts w:ascii="Helvatika" w:eastAsia="Times New Roman" w:hAnsi="Helvatik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06"/>
    <w:pPr>
      <w:overflowPunct w:val="0"/>
      <w:autoSpaceDE w:val="0"/>
      <w:autoSpaceDN w:val="0"/>
      <w:adjustRightInd w:val="0"/>
      <w:spacing w:after="0" w:line="240" w:lineRule="auto"/>
    </w:pPr>
    <w:rPr>
      <w:rFonts w:ascii="Helvatika" w:eastAsia="Times New Roman" w:hAnsi="Helvatika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semiHidden/>
    <w:rsid w:val="00454506"/>
    <w:pPr>
      <w:ind w:left="426"/>
      <w:jc w:val="both"/>
    </w:pPr>
    <w:rPr>
      <w:rFonts w:ascii="Arial" w:hAnsi="Arial" w:cs="Arial"/>
      <w:sz w:val="24"/>
      <w:lang w:val="tr-TR"/>
    </w:rPr>
  </w:style>
  <w:style w:type="paragraph" w:styleId="ListeParagraf">
    <w:name w:val="List Paragraph"/>
    <w:basedOn w:val="Normal"/>
    <w:uiPriority w:val="34"/>
    <w:qFormat/>
    <w:rsid w:val="004545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58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48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A7B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A7B78"/>
    <w:rPr>
      <w:rFonts w:ascii="Helvatika" w:eastAsia="Times New Roman" w:hAnsi="Helvatika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A7B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A7B78"/>
    <w:rPr>
      <w:rFonts w:ascii="Helvatika" w:eastAsia="Times New Roman" w:hAnsi="Helvatik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 CIMEN</dc:creator>
  <cp:lastModifiedBy>Recep Kapan</cp:lastModifiedBy>
  <cp:revision>7</cp:revision>
  <cp:lastPrinted>2012-05-30T11:20:00Z</cp:lastPrinted>
  <dcterms:created xsi:type="dcterms:W3CDTF">2014-10-02T09:26:00Z</dcterms:created>
  <dcterms:modified xsi:type="dcterms:W3CDTF">2017-05-11T12:31:00Z</dcterms:modified>
</cp:coreProperties>
</file>